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D553" w14:textId="77777777" w:rsidR="00E34D47" w:rsidRPr="00936D42" w:rsidRDefault="00D3676D">
      <w:r>
        <w:rPr>
          <w:noProof/>
        </w:rPr>
        <w:drawing>
          <wp:anchor distT="0" distB="0" distL="114300" distR="114300" simplePos="0" relativeHeight="251657728" behindDoc="0" locked="0" layoutInCell="1" allowOverlap="1" wp14:anchorId="40BEE80B" wp14:editId="76D8C80F">
            <wp:simplePos x="0" y="0"/>
            <wp:positionH relativeFrom="column">
              <wp:posOffset>66040</wp:posOffset>
            </wp:positionH>
            <wp:positionV relativeFrom="paragraph">
              <wp:posOffset>-554355</wp:posOffset>
            </wp:positionV>
            <wp:extent cx="2876550" cy="532765"/>
            <wp:effectExtent l="0" t="0" r="0" b="63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AA779" w14:textId="11FDED24" w:rsidR="00E2032B" w:rsidRPr="00EF6FDC" w:rsidRDefault="00E2032B">
      <w:pPr>
        <w:rPr>
          <w:b/>
        </w:rPr>
      </w:pPr>
      <w:r w:rsidRPr="00EF6FDC">
        <w:rPr>
          <w:b/>
        </w:rPr>
        <w:t>INFORMATION</w:t>
      </w:r>
      <w:r w:rsidR="008E48B0" w:rsidRPr="00EF6FDC">
        <w:rPr>
          <w:b/>
        </w:rPr>
        <w:t xml:space="preserve"> zu</w:t>
      </w:r>
      <w:r w:rsidR="00D57ED7" w:rsidRPr="00EF6FDC">
        <w:rPr>
          <w:b/>
        </w:rPr>
        <w:t>r Mobilitätsförderung</w:t>
      </w:r>
      <w:r w:rsidR="008E48B0" w:rsidRPr="00EF6FDC">
        <w:rPr>
          <w:b/>
        </w:rPr>
        <w:t xml:space="preserve"> </w:t>
      </w:r>
      <w:r w:rsidR="00417BFD" w:rsidRPr="00EF6FDC">
        <w:rPr>
          <w:b/>
        </w:rPr>
        <w:t xml:space="preserve">in </w:t>
      </w:r>
      <w:r w:rsidR="008E48B0" w:rsidRPr="00EF6FDC">
        <w:rPr>
          <w:b/>
        </w:rPr>
        <w:t xml:space="preserve">ERASMUS+ </w:t>
      </w:r>
      <w:r w:rsidR="00D57ED7" w:rsidRPr="00EF6FDC">
        <w:rPr>
          <w:b/>
        </w:rPr>
        <w:t xml:space="preserve">für </w:t>
      </w:r>
      <w:r w:rsidR="00B52201" w:rsidRPr="00EF6FDC">
        <w:rPr>
          <w:b/>
        </w:rPr>
        <w:t>Fort- und Weiterbildungs</w:t>
      </w:r>
      <w:r w:rsidR="00D57ED7" w:rsidRPr="00EF6FDC">
        <w:rPr>
          <w:b/>
        </w:rPr>
        <w:t xml:space="preserve">maßnahmen </w:t>
      </w:r>
      <w:r w:rsidR="00CD2BDB" w:rsidRPr="00EF6FDC">
        <w:rPr>
          <w:b/>
        </w:rPr>
        <w:t xml:space="preserve">von </w:t>
      </w:r>
      <w:r w:rsidR="00D57ED7" w:rsidRPr="00EF6FDC">
        <w:rPr>
          <w:b/>
        </w:rPr>
        <w:t>Hochschulp</w:t>
      </w:r>
      <w:r w:rsidR="00CD2BDB" w:rsidRPr="00EF6FDC">
        <w:rPr>
          <w:b/>
        </w:rPr>
        <w:t xml:space="preserve">ersonal </w:t>
      </w:r>
      <w:r w:rsidR="00417BFD" w:rsidRPr="00EF6FDC">
        <w:rPr>
          <w:b/>
        </w:rPr>
        <w:t>(ST</w:t>
      </w:r>
      <w:r w:rsidR="00B52201" w:rsidRPr="00EF6FDC">
        <w:rPr>
          <w:b/>
        </w:rPr>
        <w:t>T</w:t>
      </w:r>
      <w:r w:rsidR="00417BFD" w:rsidRPr="00EF6FDC">
        <w:rPr>
          <w:b/>
        </w:rPr>
        <w:t xml:space="preserve">) </w:t>
      </w:r>
      <w:r w:rsidR="008E48B0" w:rsidRPr="00EF6FDC">
        <w:rPr>
          <w:b/>
        </w:rPr>
        <w:t>i</w:t>
      </w:r>
      <w:r w:rsidR="00D26B8C">
        <w:rPr>
          <w:b/>
        </w:rPr>
        <w:t>m akademischen Jahr 202</w:t>
      </w:r>
      <w:r w:rsidR="00A236C0">
        <w:rPr>
          <w:b/>
        </w:rPr>
        <w:t>2</w:t>
      </w:r>
      <w:r w:rsidR="00D26B8C">
        <w:rPr>
          <w:b/>
        </w:rPr>
        <w:t>/2</w:t>
      </w:r>
      <w:r w:rsidR="00A236C0">
        <w:rPr>
          <w:b/>
        </w:rPr>
        <w:t>3</w:t>
      </w:r>
    </w:p>
    <w:p w14:paraId="0D878A07" w14:textId="0533554D" w:rsidR="00E2032B" w:rsidRPr="00A756DC" w:rsidRDefault="00A756DC">
      <w:pPr>
        <w:rPr>
          <w:sz w:val="16"/>
          <w:szCs w:val="16"/>
        </w:rPr>
      </w:pPr>
      <w:r w:rsidRPr="00DA2C29">
        <w:rPr>
          <w:sz w:val="16"/>
          <w:szCs w:val="16"/>
        </w:rPr>
        <w:t>Stand:</w:t>
      </w:r>
      <w:r w:rsidR="0071220C" w:rsidRPr="00DA2C29">
        <w:rPr>
          <w:sz w:val="16"/>
          <w:szCs w:val="16"/>
        </w:rPr>
        <w:t xml:space="preserve"> </w:t>
      </w:r>
      <w:r w:rsidR="00023AC8">
        <w:rPr>
          <w:sz w:val="16"/>
          <w:szCs w:val="16"/>
        </w:rPr>
        <w:t>12. Oktober 2022</w:t>
      </w:r>
    </w:p>
    <w:p w14:paraId="23C6E372" w14:textId="77777777" w:rsidR="00BB745A" w:rsidRDefault="00BB745A"/>
    <w:p w14:paraId="20104909" w14:textId="2C88F820" w:rsidR="00E2032B" w:rsidRDefault="00E2032B" w:rsidP="006E02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Merkblatt für </w:t>
      </w:r>
      <w:r w:rsidR="005E457C">
        <w:t>Hochschulp</w:t>
      </w:r>
      <w:r w:rsidR="00B52201">
        <w:t>ersonal</w:t>
      </w:r>
      <w:r>
        <w:t>, d</w:t>
      </w:r>
      <w:r w:rsidR="005E457C">
        <w:t>as</w:t>
      </w:r>
      <w:r w:rsidR="00D26B8C">
        <w:t xml:space="preserve"> im akademischen Jahr 202</w:t>
      </w:r>
      <w:r w:rsidR="00023AC8">
        <w:t>2</w:t>
      </w:r>
      <w:r w:rsidR="00D26B8C">
        <w:t>/2</w:t>
      </w:r>
      <w:r w:rsidR="00023AC8">
        <w:t>3</w:t>
      </w:r>
      <w:r>
        <w:t xml:space="preserve"> </w:t>
      </w:r>
      <w:r w:rsidR="00B52201">
        <w:t>eine</w:t>
      </w:r>
      <w:r w:rsidR="00DC7666">
        <w:t>n</w:t>
      </w:r>
      <w:r w:rsidR="00B52201">
        <w:t xml:space="preserve"> </w:t>
      </w:r>
      <w:r w:rsidR="00936D42">
        <w:t xml:space="preserve">Erasmus+ </w:t>
      </w:r>
      <w:r w:rsidR="00B52201">
        <w:t>Fort- und Weiterbildungs</w:t>
      </w:r>
      <w:r w:rsidR="00417BFD">
        <w:t xml:space="preserve">aufenthalt an einer </w:t>
      </w:r>
      <w:r>
        <w:t xml:space="preserve">Partnerhochschule </w:t>
      </w:r>
      <w:r w:rsidR="00502AC6">
        <w:t xml:space="preserve">der Hochschule Bonn-Rhein-Sieg </w:t>
      </w:r>
      <w:r w:rsidR="00D57ED7">
        <w:t>oder einer anderen Hochschule</w:t>
      </w:r>
      <w:r w:rsidR="005E457C">
        <w:t xml:space="preserve"> bzw. Einrichtung</w:t>
      </w:r>
      <w:r w:rsidR="00D57ED7">
        <w:t xml:space="preserve"> </w:t>
      </w:r>
      <w:r w:rsidR="004856BF">
        <w:t>absolvieren möchte.</w:t>
      </w:r>
    </w:p>
    <w:p w14:paraId="2BCE8FB9" w14:textId="77777777" w:rsidR="00B61723" w:rsidRDefault="00B61723" w:rsidP="00A67722">
      <w:pPr>
        <w:pStyle w:val="NurText"/>
        <w:jc w:val="both"/>
        <w:rPr>
          <w:rFonts w:ascii="Frutiger 45 Light" w:hAnsi="Frutiger 45 Light" w:cs="Times New Roman"/>
          <w:sz w:val="23"/>
          <w:szCs w:val="23"/>
        </w:rPr>
      </w:pPr>
    </w:p>
    <w:p w14:paraId="2E6C818D" w14:textId="465E4272" w:rsidR="00EF6FDC" w:rsidRDefault="00B61723" w:rsidP="00A67722">
      <w:pPr>
        <w:pStyle w:val="NurText"/>
        <w:jc w:val="both"/>
        <w:rPr>
          <w:rFonts w:ascii="Frutiger 45 Light" w:hAnsi="Frutiger 45 Light"/>
          <w:sz w:val="23"/>
          <w:szCs w:val="23"/>
        </w:rPr>
      </w:pPr>
      <w:r>
        <w:rPr>
          <w:rFonts w:ascii="Frutiger 45 Light" w:hAnsi="Frutiger 45 Light" w:cs="Times New Roman"/>
          <w:sz w:val="23"/>
          <w:szCs w:val="23"/>
        </w:rPr>
        <w:t xml:space="preserve">Im </w:t>
      </w:r>
      <w:r w:rsidR="005E457C">
        <w:rPr>
          <w:rFonts w:ascii="Frutiger 45 Light" w:hAnsi="Frutiger 45 Light" w:cs="Times New Roman"/>
          <w:sz w:val="23"/>
          <w:szCs w:val="23"/>
        </w:rPr>
        <w:t xml:space="preserve">Programm Erasmus+ </w:t>
      </w:r>
      <w:r>
        <w:rPr>
          <w:rFonts w:ascii="Frutiger 45 Light" w:hAnsi="Frutiger 45 Light" w:cs="Times New Roman"/>
          <w:sz w:val="23"/>
          <w:szCs w:val="23"/>
        </w:rPr>
        <w:t>stehe</w:t>
      </w:r>
      <w:r w:rsidR="00D26B8C">
        <w:rPr>
          <w:rFonts w:ascii="Frutiger 45 Light" w:hAnsi="Frutiger 45 Light" w:cs="Times New Roman"/>
          <w:sz w:val="23"/>
          <w:szCs w:val="23"/>
        </w:rPr>
        <w:t>n auch im akademischen Jahr 202</w:t>
      </w:r>
      <w:r w:rsidR="00023AC8">
        <w:rPr>
          <w:rFonts w:ascii="Frutiger 45 Light" w:hAnsi="Frutiger 45 Light" w:cs="Times New Roman"/>
          <w:sz w:val="23"/>
          <w:szCs w:val="23"/>
        </w:rPr>
        <w:t>2</w:t>
      </w:r>
      <w:r w:rsidR="00D26B8C">
        <w:rPr>
          <w:rFonts w:ascii="Frutiger 45 Light" w:hAnsi="Frutiger 45 Light" w:cs="Times New Roman"/>
          <w:sz w:val="23"/>
          <w:szCs w:val="23"/>
        </w:rPr>
        <w:t>/2</w:t>
      </w:r>
      <w:r w:rsidR="00023AC8">
        <w:rPr>
          <w:rFonts w:ascii="Frutiger 45 Light" w:hAnsi="Frutiger 45 Light" w:cs="Times New Roman"/>
          <w:sz w:val="23"/>
          <w:szCs w:val="23"/>
        </w:rPr>
        <w:t>3</w:t>
      </w:r>
      <w:r>
        <w:rPr>
          <w:rFonts w:ascii="Frutiger 45 Light" w:hAnsi="Frutiger 45 Light" w:cs="Times New Roman"/>
          <w:sz w:val="23"/>
          <w:szCs w:val="23"/>
        </w:rPr>
        <w:t xml:space="preserve"> wieder Fördermittel</w:t>
      </w:r>
      <w:r w:rsidR="00F93606">
        <w:rPr>
          <w:rFonts w:ascii="Frutiger 45 Light" w:hAnsi="Frutiger 45 Light" w:cs="Times New Roman"/>
          <w:sz w:val="23"/>
          <w:szCs w:val="23"/>
        </w:rPr>
        <w:t xml:space="preserve"> </w:t>
      </w:r>
      <w:r w:rsidR="005E457C" w:rsidRPr="00764AD3">
        <w:rPr>
          <w:rFonts w:ascii="Frutiger 45 Light" w:hAnsi="Frutiger 45 Light" w:cs="Times New Roman"/>
          <w:sz w:val="23"/>
          <w:szCs w:val="23"/>
        </w:rPr>
        <w:t xml:space="preserve">als Zuschuss </w:t>
      </w:r>
      <w:r w:rsidR="00D6534E">
        <w:rPr>
          <w:rFonts w:ascii="Frutiger 45 Light" w:hAnsi="Frutiger 45 Light" w:cs="Times New Roman"/>
          <w:sz w:val="23"/>
          <w:szCs w:val="23"/>
        </w:rPr>
        <w:t>zu Fahrt- und Aufenthaltskosten</w:t>
      </w:r>
      <w:r w:rsidR="004856BF">
        <w:rPr>
          <w:rFonts w:ascii="Frutiger 45 Light" w:hAnsi="Frutiger 45 Light" w:cs="Times New Roman"/>
          <w:sz w:val="23"/>
          <w:szCs w:val="23"/>
        </w:rPr>
        <w:t xml:space="preserve"> </w:t>
      </w:r>
      <w:r w:rsidR="00D6534E">
        <w:rPr>
          <w:rFonts w:ascii="Frutiger 45 Light" w:hAnsi="Frutiger 45 Light" w:cs="Times New Roman"/>
          <w:sz w:val="23"/>
          <w:szCs w:val="23"/>
        </w:rPr>
        <w:t>bei</w:t>
      </w:r>
      <w:r w:rsidR="005E457C" w:rsidRPr="00764AD3">
        <w:rPr>
          <w:rFonts w:ascii="Frutiger 45 Light" w:hAnsi="Frutiger 45 Light" w:cs="Times New Roman"/>
          <w:sz w:val="23"/>
          <w:szCs w:val="23"/>
        </w:rPr>
        <w:t xml:space="preserve"> arbeitsplatzbezogenen</w:t>
      </w:r>
      <w:r w:rsidR="004856BF">
        <w:rPr>
          <w:rFonts w:ascii="Frutiger 45 Light" w:hAnsi="Frutiger 45 Light" w:cs="Times New Roman"/>
          <w:sz w:val="23"/>
          <w:szCs w:val="23"/>
        </w:rPr>
        <w:t xml:space="preserve"> Fortbildungen</w:t>
      </w:r>
      <w:r w:rsidR="005E457C" w:rsidRPr="00764AD3">
        <w:rPr>
          <w:rFonts w:ascii="Frutiger 45 Light" w:hAnsi="Frutiger 45 Light" w:cs="Times New Roman"/>
          <w:sz w:val="23"/>
          <w:szCs w:val="23"/>
        </w:rPr>
        <w:t xml:space="preserve"> von Hochschulpersonal</w:t>
      </w:r>
      <w:r>
        <w:rPr>
          <w:rFonts w:ascii="Frutiger 45 Light" w:hAnsi="Frutiger 45 Light" w:cs="Times New Roman"/>
          <w:sz w:val="23"/>
          <w:szCs w:val="23"/>
        </w:rPr>
        <w:t xml:space="preserve"> zur Verfügung. Dies bezieht sich auf </w:t>
      </w:r>
      <w:r w:rsidR="00D21FDE">
        <w:rPr>
          <w:rFonts w:ascii="Frutiger 45 Light" w:hAnsi="Frutiger 45 Light" w:cs="Times New Roman"/>
          <w:sz w:val="23"/>
          <w:szCs w:val="23"/>
        </w:rPr>
        <w:t>B</w:t>
      </w:r>
      <w:r w:rsidR="004C4530">
        <w:rPr>
          <w:rFonts w:ascii="Frutiger 45 Light" w:hAnsi="Frutiger 45 Light" w:cs="Times New Roman"/>
          <w:sz w:val="23"/>
          <w:szCs w:val="23"/>
        </w:rPr>
        <w:t>eschäftigte</w:t>
      </w:r>
      <w:r w:rsidR="00D21FDE">
        <w:rPr>
          <w:rFonts w:ascii="Frutiger 45 Light" w:hAnsi="Frutiger 45 Light" w:cs="Times New Roman"/>
          <w:sz w:val="23"/>
          <w:szCs w:val="23"/>
        </w:rPr>
        <w:t xml:space="preserve"> in Technik und Verwaltung sowie wissenschaftlic</w:t>
      </w:r>
      <w:r>
        <w:rPr>
          <w:rFonts w:ascii="Frutiger 45 Light" w:hAnsi="Frutiger 45 Light" w:cs="Times New Roman"/>
          <w:sz w:val="23"/>
          <w:szCs w:val="23"/>
        </w:rPr>
        <w:t>he</w:t>
      </w:r>
      <w:r w:rsidR="00D21FDE">
        <w:rPr>
          <w:rFonts w:ascii="Frutiger 45 Light" w:hAnsi="Frutiger 45 Light" w:cs="Times New Roman"/>
          <w:sz w:val="23"/>
          <w:szCs w:val="23"/>
        </w:rPr>
        <w:t xml:space="preserve"> Beschäftigte</w:t>
      </w:r>
      <w:r w:rsidR="004856BF">
        <w:rPr>
          <w:rFonts w:ascii="Frutiger 45 Light" w:hAnsi="Frutiger 45 Light" w:cs="Times New Roman"/>
          <w:sz w:val="23"/>
          <w:szCs w:val="23"/>
        </w:rPr>
        <w:t>.</w:t>
      </w:r>
      <w:r w:rsidR="005E457C" w:rsidRPr="00764AD3">
        <w:rPr>
          <w:rFonts w:ascii="Frutiger 45 Light" w:hAnsi="Frutiger 45 Light" w:cs="Times New Roman"/>
          <w:sz w:val="23"/>
          <w:szCs w:val="23"/>
        </w:rPr>
        <w:t xml:space="preserve"> </w:t>
      </w:r>
      <w:r w:rsidR="004856BF">
        <w:rPr>
          <w:rFonts w:ascii="Frutiger 45 Light" w:hAnsi="Frutiger 45 Light" w:cs="Times New Roman"/>
          <w:sz w:val="23"/>
          <w:szCs w:val="23"/>
        </w:rPr>
        <w:t>D</w:t>
      </w:r>
      <w:r w:rsidR="00F93606">
        <w:rPr>
          <w:rFonts w:ascii="Frutiger 45 Light" w:hAnsi="Frutiger 45 Light" w:cs="Times New Roman"/>
          <w:sz w:val="23"/>
          <w:szCs w:val="23"/>
        </w:rPr>
        <w:t>ie Mobilität</w:t>
      </w:r>
      <w:r w:rsidR="004856BF">
        <w:rPr>
          <w:rFonts w:ascii="Frutiger 45 Light" w:hAnsi="Frutiger 45 Light" w:cs="Times New Roman"/>
          <w:sz w:val="23"/>
          <w:szCs w:val="23"/>
        </w:rPr>
        <w:t xml:space="preserve"> muss</w:t>
      </w:r>
      <w:r w:rsidR="00EE099F">
        <w:rPr>
          <w:rFonts w:ascii="Frutiger 45 Light" w:hAnsi="Frutiger 45 Light" w:cs="Times New Roman"/>
          <w:sz w:val="23"/>
          <w:szCs w:val="23"/>
        </w:rPr>
        <w:t xml:space="preserve"> </w:t>
      </w:r>
      <w:r>
        <w:rPr>
          <w:rFonts w:ascii="Frutiger 45 Light" w:hAnsi="Frutiger 45 Light" w:cs="Times New Roman"/>
          <w:sz w:val="23"/>
          <w:szCs w:val="23"/>
        </w:rPr>
        <w:t>in einem Erasmus+ Programmland</w:t>
      </w:r>
      <w:r w:rsidR="00936D42">
        <w:rPr>
          <w:rFonts w:ascii="Frutiger 45 Light" w:hAnsi="Frutiger 45 Light" w:cs="Times New Roman"/>
          <w:sz w:val="23"/>
          <w:szCs w:val="23"/>
        </w:rPr>
        <w:t>,</w:t>
      </w:r>
      <w:r>
        <w:rPr>
          <w:rFonts w:ascii="Frutiger 45 Light" w:hAnsi="Frutiger 45 Light" w:cs="Times New Roman"/>
          <w:sz w:val="23"/>
          <w:szCs w:val="23"/>
        </w:rPr>
        <w:t xml:space="preserve"> entweder</w:t>
      </w:r>
      <w:r w:rsidR="00EE099F">
        <w:rPr>
          <w:rFonts w:ascii="Frutiger 45 Light" w:hAnsi="Frutiger 45 Light" w:cs="Times New Roman"/>
          <w:sz w:val="23"/>
          <w:szCs w:val="23"/>
        </w:rPr>
        <w:t xml:space="preserve"> </w:t>
      </w:r>
      <w:r>
        <w:rPr>
          <w:rFonts w:ascii="Frutiger 45 Light" w:hAnsi="Frutiger 45 Light" w:cs="Times New Roman"/>
          <w:sz w:val="23"/>
          <w:szCs w:val="23"/>
        </w:rPr>
        <w:t xml:space="preserve">an </w:t>
      </w:r>
      <w:r w:rsidR="00EE099F">
        <w:rPr>
          <w:rFonts w:ascii="Frutiger 45 Light" w:hAnsi="Frutiger 45 Light" w:cs="Times New Roman"/>
          <w:sz w:val="23"/>
          <w:szCs w:val="23"/>
        </w:rPr>
        <w:t>einer</w:t>
      </w:r>
      <w:r w:rsidR="008024B7" w:rsidRPr="00215683">
        <w:rPr>
          <w:rFonts w:ascii="Frutiger 45 Light" w:hAnsi="Frutiger 45 Light"/>
          <w:sz w:val="23"/>
          <w:szCs w:val="23"/>
        </w:rPr>
        <w:t xml:space="preserve"> Hochschule </w:t>
      </w:r>
      <w:r w:rsidR="00CF3BA1" w:rsidRPr="00215683">
        <w:rPr>
          <w:rFonts w:ascii="Frutiger 45 Light" w:hAnsi="Frutiger 45 Light"/>
          <w:sz w:val="23"/>
          <w:szCs w:val="23"/>
        </w:rPr>
        <w:t>mit ECHE</w:t>
      </w:r>
      <w:r w:rsidR="00CF3BA1">
        <w:rPr>
          <w:rFonts w:ascii="Frutiger 45 Light" w:hAnsi="Frutiger 45 Light"/>
          <w:sz w:val="23"/>
          <w:szCs w:val="23"/>
        </w:rPr>
        <w:t xml:space="preserve">* </w:t>
      </w:r>
      <w:r w:rsidR="008024B7" w:rsidRPr="00215683">
        <w:rPr>
          <w:rFonts w:ascii="Frutiger 45 Light" w:hAnsi="Frutiger 45 Light"/>
          <w:sz w:val="23"/>
          <w:szCs w:val="23"/>
        </w:rPr>
        <w:t xml:space="preserve">oder </w:t>
      </w:r>
      <w:r w:rsidR="004856BF">
        <w:rPr>
          <w:rFonts w:ascii="Frutiger 45 Light" w:hAnsi="Frutiger 45 Light"/>
          <w:sz w:val="23"/>
          <w:szCs w:val="23"/>
        </w:rPr>
        <w:t xml:space="preserve">einer </w:t>
      </w:r>
      <w:r w:rsidR="008024B7" w:rsidRPr="00215683">
        <w:rPr>
          <w:rFonts w:ascii="Frutiger 45 Light" w:hAnsi="Frutiger 45 Light"/>
          <w:sz w:val="23"/>
          <w:szCs w:val="23"/>
        </w:rPr>
        <w:t>Einrichtung</w:t>
      </w:r>
      <w:r w:rsidR="004856BF">
        <w:rPr>
          <w:rFonts w:ascii="Frutiger 45 Light" w:hAnsi="Frutiger 45 Light"/>
          <w:sz w:val="23"/>
          <w:szCs w:val="23"/>
        </w:rPr>
        <w:t xml:space="preserve"> stattfinden</w:t>
      </w:r>
      <w:r w:rsidR="008024B7" w:rsidRPr="00215683">
        <w:rPr>
          <w:rFonts w:ascii="Frutiger 45 Light" w:hAnsi="Frutiger 45 Light"/>
          <w:sz w:val="23"/>
          <w:szCs w:val="23"/>
        </w:rPr>
        <w:t xml:space="preserve">, die </w:t>
      </w:r>
      <w:r w:rsidR="004856BF">
        <w:rPr>
          <w:rFonts w:ascii="Frutiger 45 Light" w:hAnsi="Frutiger 45 Light"/>
          <w:sz w:val="23"/>
          <w:szCs w:val="23"/>
        </w:rPr>
        <w:t>in den Bereichen allgemeine und berufliche</w:t>
      </w:r>
      <w:r w:rsidR="008024B7" w:rsidRPr="00215683">
        <w:rPr>
          <w:rFonts w:ascii="Frutiger 45 Light" w:hAnsi="Frutiger 45 Light"/>
          <w:sz w:val="23"/>
          <w:szCs w:val="23"/>
        </w:rPr>
        <w:t xml:space="preserve"> Bildung oder Jugend tätig ist (</w:t>
      </w:r>
      <w:r w:rsidR="00801587" w:rsidRPr="00215683">
        <w:rPr>
          <w:rFonts w:ascii="Frutiger 45 Light" w:hAnsi="Frutiger 45 Light"/>
          <w:sz w:val="23"/>
          <w:szCs w:val="23"/>
        </w:rPr>
        <w:t>Erläuterungen</w:t>
      </w:r>
      <w:r w:rsidR="008024B7" w:rsidRPr="00215683">
        <w:rPr>
          <w:rFonts w:ascii="Frutiger 45 Light" w:hAnsi="Frutiger 45 Light"/>
          <w:sz w:val="23"/>
          <w:szCs w:val="23"/>
        </w:rPr>
        <w:t xml:space="preserve"> siehe unten*)</w:t>
      </w:r>
      <w:r w:rsidR="00417BFD" w:rsidRPr="00215683">
        <w:rPr>
          <w:rFonts w:ascii="Frutiger 45 Light" w:hAnsi="Frutiger 45 Light"/>
          <w:sz w:val="23"/>
          <w:szCs w:val="23"/>
        </w:rPr>
        <w:t xml:space="preserve">. </w:t>
      </w:r>
    </w:p>
    <w:p w14:paraId="13B2D3CB" w14:textId="77777777" w:rsidR="00F93606" w:rsidRDefault="00F93606" w:rsidP="00F93606">
      <w:pPr>
        <w:rPr>
          <w:b/>
        </w:rPr>
      </w:pPr>
    </w:p>
    <w:p w14:paraId="4E73D6DB" w14:textId="77777777" w:rsidR="00F93606" w:rsidRDefault="00C0577C" w:rsidP="00F93606">
      <w:pPr>
        <w:rPr>
          <w:b/>
        </w:rPr>
      </w:pPr>
      <w:r>
        <w:rPr>
          <w:b/>
        </w:rPr>
        <w:t>Bewerbungsfrist</w:t>
      </w:r>
      <w:r w:rsidR="00F012F7">
        <w:rPr>
          <w:b/>
        </w:rPr>
        <w:t xml:space="preserve"> und Bewerbungsverfahren</w:t>
      </w:r>
      <w:r w:rsidR="00F93606">
        <w:rPr>
          <w:b/>
        </w:rPr>
        <w:t>:</w:t>
      </w:r>
    </w:p>
    <w:p w14:paraId="4D066DAB" w14:textId="77777777" w:rsidR="00F93606" w:rsidRDefault="00F93606" w:rsidP="00F93606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93606" w14:paraId="3CB4D627" w14:textId="77777777" w:rsidTr="00F9360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185C" w14:textId="1C0123A9" w:rsidR="00F93606" w:rsidRDefault="00C178A1" w:rsidP="001754DB">
            <w:r>
              <w:t>Aufentha</w:t>
            </w:r>
            <w:r w:rsidR="00CF59DD">
              <w:t>lt</w:t>
            </w:r>
            <w:r w:rsidR="00B61723">
              <w:t xml:space="preserve"> </w:t>
            </w:r>
            <w:r w:rsidR="00CF59DD">
              <w:t xml:space="preserve">im </w:t>
            </w:r>
            <w:r w:rsidR="001754DB">
              <w:t>akademischen Ja</w:t>
            </w:r>
            <w:r w:rsidR="00D26B8C">
              <w:t>hr 202</w:t>
            </w:r>
            <w:r w:rsidR="00515508">
              <w:t>2</w:t>
            </w:r>
            <w:r w:rsidR="001754DB">
              <w:t>/2</w:t>
            </w:r>
            <w:r w:rsidR="00515508"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2FBA" w14:textId="7A9F5A9E" w:rsidR="00F93606" w:rsidRPr="001754DB" w:rsidRDefault="00D26B8C" w:rsidP="00DA2C29">
            <w:pPr>
              <w:rPr>
                <w:b/>
              </w:rPr>
            </w:pPr>
            <w:r>
              <w:rPr>
                <w:b/>
              </w:rPr>
              <w:t>30.</w:t>
            </w:r>
            <w:r w:rsidR="00DA2C29">
              <w:rPr>
                <w:b/>
              </w:rPr>
              <w:t>10</w:t>
            </w:r>
            <w:r w:rsidR="00B61723" w:rsidRPr="001754DB">
              <w:rPr>
                <w:b/>
              </w:rPr>
              <w:t>.202</w:t>
            </w:r>
            <w:r w:rsidR="00023AC8">
              <w:rPr>
                <w:b/>
              </w:rPr>
              <w:t>2</w:t>
            </w:r>
          </w:p>
        </w:tc>
      </w:tr>
    </w:tbl>
    <w:p w14:paraId="00885902" w14:textId="77777777" w:rsidR="00F93606" w:rsidRDefault="00F93606" w:rsidP="00F93606"/>
    <w:p w14:paraId="09CB561B" w14:textId="67D5D85C" w:rsidR="00F93606" w:rsidRDefault="00C0577C" w:rsidP="00F93606">
      <w:r w:rsidRPr="00A40BF8">
        <w:t xml:space="preserve">Bitte teilen Sie dem International Office </w:t>
      </w:r>
      <w:r w:rsidR="004313AA">
        <w:t>bis zu dem oben genannten Termin</w:t>
      </w:r>
      <w:r>
        <w:t xml:space="preserve"> </w:t>
      </w:r>
      <w:r w:rsidRPr="00A40BF8">
        <w:t>Ihr Vorhaben</w:t>
      </w:r>
      <w:r>
        <w:t xml:space="preserve"> (Zeitraum und Ort)</w:t>
      </w:r>
      <w:r w:rsidRPr="00A40BF8">
        <w:t xml:space="preserve"> formlos per Email mit und leiten Sie das Einverständnis</w:t>
      </w:r>
      <w:r>
        <w:t xml:space="preserve"> der aufnehmenden </w:t>
      </w:r>
      <w:r w:rsidR="007B1670">
        <w:t>Institution</w:t>
      </w:r>
      <w:r>
        <w:t xml:space="preserve"> sowie </w:t>
      </w:r>
      <w:r w:rsidRPr="00A40BF8">
        <w:t xml:space="preserve">Ihrer </w:t>
      </w:r>
      <w:r w:rsidR="004313AA">
        <w:t>Gliederungsleitung</w:t>
      </w:r>
      <w:r w:rsidRPr="00A40BF8">
        <w:t xml:space="preserve"> weiter. </w:t>
      </w:r>
      <w:r>
        <w:t>Anträge, die</w:t>
      </w:r>
      <w:r w:rsidR="00F012F7">
        <w:t xml:space="preserve"> bis zum 30</w:t>
      </w:r>
      <w:r w:rsidR="004313AA">
        <w:t xml:space="preserve">. </w:t>
      </w:r>
      <w:r w:rsidR="006627FE">
        <w:t>Oktober</w:t>
      </w:r>
      <w:r w:rsidR="004313AA">
        <w:t xml:space="preserve"> eingehen</w:t>
      </w:r>
      <w:r w:rsidR="004F4555">
        <w:t>,</w:t>
      </w:r>
      <w:r>
        <w:t xml:space="preserve"> werden prioritär behandelt, es lohnt sich aber a</w:t>
      </w:r>
      <w:r w:rsidR="004313AA">
        <w:t>uch danach jederzeit anzufragen. N</w:t>
      </w:r>
      <w:r>
        <w:t>och vo</w:t>
      </w:r>
      <w:r w:rsidR="004313AA">
        <w:t xml:space="preserve">rhandene Mittel werden </w:t>
      </w:r>
      <w:r w:rsidR="00F012F7">
        <w:t xml:space="preserve">dann </w:t>
      </w:r>
      <w:r w:rsidR="004313AA">
        <w:t>nach der Reihenfolge der Anträge vergeben.</w:t>
      </w:r>
    </w:p>
    <w:p w14:paraId="58B2FC03" w14:textId="77777777" w:rsidR="00F012F7" w:rsidRDefault="00F012F7" w:rsidP="00F93606"/>
    <w:p w14:paraId="657AD8E4" w14:textId="77777777" w:rsidR="00F012F7" w:rsidRPr="00F012F7" w:rsidRDefault="00F012F7" w:rsidP="00F012F7">
      <w:pPr>
        <w:rPr>
          <w:b/>
        </w:rPr>
      </w:pPr>
      <w:r w:rsidRPr="00F012F7">
        <w:rPr>
          <w:b/>
        </w:rPr>
        <w:t>Voraussetzungen</w:t>
      </w:r>
    </w:p>
    <w:p w14:paraId="34DF843C" w14:textId="77777777" w:rsidR="005F7A69" w:rsidRDefault="005F7A69" w:rsidP="00F012F7"/>
    <w:p w14:paraId="7DE0D0BA" w14:textId="77777777" w:rsidR="00F012F7" w:rsidRDefault="00F012F7" w:rsidP="00F012F7">
      <w:r>
        <w:t>Sprachkenntnisse in der Arbeitssprache, Empfehlung: mindestens B2</w:t>
      </w:r>
    </w:p>
    <w:p w14:paraId="34B47518" w14:textId="77777777" w:rsidR="00F012F7" w:rsidRDefault="004F4002" w:rsidP="00F012F7">
      <w:r>
        <w:t>Klar erkennbarer inhaltlicher und fachlicher Bezug</w:t>
      </w:r>
      <w:r w:rsidR="00F012F7">
        <w:t xml:space="preserve"> zur Tätigkeit an der H</w:t>
      </w:r>
      <w:r w:rsidR="004F4555">
        <w:t>-</w:t>
      </w:r>
      <w:r w:rsidR="00F012F7">
        <w:t>BRS</w:t>
      </w:r>
    </w:p>
    <w:p w14:paraId="09FCE793" w14:textId="77777777" w:rsidR="00F012F7" w:rsidRDefault="00F012F7" w:rsidP="00F012F7"/>
    <w:p w14:paraId="464C9B50" w14:textId="77777777" w:rsidR="00F012F7" w:rsidRDefault="00F012F7" w:rsidP="00F012F7"/>
    <w:p w14:paraId="03EF2CA6" w14:textId="5B66FFAB" w:rsidR="00F012F7" w:rsidRPr="00F012F7" w:rsidRDefault="00F012F7" w:rsidP="00F012F7">
      <w:pPr>
        <w:rPr>
          <w:b/>
        </w:rPr>
      </w:pPr>
      <w:r w:rsidRPr="00F012F7">
        <w:rPr>
          <w:b/>
        </w:rPr>
        <w:t xml:space="preserve">Bewerbungen werden </w:t>
      </w:r>
      <w:proofErr w:type="gramStart"/>
      <w:r w:rsidRPr="00F012F7">
        <w:rPr>
          <w:b/>
        </w:rPr>
        <w:t>nach folgenden</w:t>
      </w:r>
      <w:proofErr w:type="gramEnd"/>
      <w:r w:rsidRPr="00F012F7">
        <w:rPr>
          <w:b/>
        </w:rPr>
        <w:t xml:space="preserve"> Kriterien priorisiert:</w:t>
      </w:r>
    </w:p>
    <w:p w14:paraId="099094F4" w14:textId="77777777" w:rsidR="00F012F7" w:rsidRDefault="00F012F7" w:rsidP="00F012F7"/>
    <w:p w14:paraId="0AAF1468" w14:textId="77777777" w:rsidR="00F012F7" w:rsidRDefault="00F012F7" w:rsidP="00F012F7">
      <w:r>
        <w:t>Aufenthalte an Partnerhochschulen werden bevorzugt gefördert</w:t>
      </w:r>
      <w:r w:rsidR="00E13AA0">
        <w:t>.</w:t>
      </w:r>
    </w:p>
    <w:p w14:paraId="79AEA35C" w14:textId="0202C591" w:rsidR="00F012F7" w:rsidRDefault="00F012F7" w:rsidP="00F012F7">
      <w:r>
        <w:t xml:space="preserve">Anträge von </w:t>
      </w:r>
      <w:r w:rsidR="00566619">
        <w:t xml:space="preserve">Mitarbeiterinnen und </w:t>
      </w:r>
      <w:r>
        <w:t xml:space="preserve">Mitarbeitern, </w:t>
      </w:r>
      <w:r w:rsidR="00516165">
        <w:t>die noch nicht an einer Erasmus+ Personalmobilität teilgenommen haben</w:t>
      </w:r>
      <w:r w:rsidR="004F4555">
        <w:t>,</w:t>
      </w:r>
      <w:r>
        <w:t xml:space="preserve"> werden bevorzugt behandelt</w:t>
      </w:r>
      <w:r w:rsidR="00E13AA0">
        <w:t>.</w:t>
      </w:r>
    </w:p>
    <w:p w14:paraId="3BBDE87F" w14:textId="23583B3D" w:rsidR="00F012F7" w:rsidRDefault="00F012F7" w:rsidP="00F012F7">
      <w:r>
        <w:t>In der Regel sollten nicht zwei Mitarbeiter</w:t>
      </w:r>
      <w:r w:rsidR="00566619">
        <w:t>/Mitarbeiterinnen</w:t>
      </w:r>
      <w:r>
        <w:t xml:space="preserve"> zeitgleich an derselben Maßnahme (Staff Week oder Hospitation) teilnehmen</w:t>
      </w:r>
      <w:r w:rsidR="00E13AA0">
        <w:t>.</w:t>
      </w:r>
    </w:p>
    <w:p w14:paraId="7F8D3583" w14:textId="77777777" w:rsidR="00F012F7" w:rsidRDefault="00F012F7" w:rsidP="00F012F7"/>
    <w:p w14:paraId="674AD993" w14:textId="77777777" w:rsidR="00F012F7" w:rsidRDefault="00F012F7" w:rsidP="00F012F7"/>
    <w:p w14:paraId="3D89C753" w14:textId="77777777" w:rsidR="00F012F7" w:rsidRPr="00F012F7" w:rsidRDefault="00F012F7" w:rsidP="00F012F7">
      <w:pPr>
        <w:rPr>
          <w:b/>
        </w:rPr>
      </w:pPr>
      <w:r w:rsidRPr="00F012F7">
        <w:rPr>
          <w:b/>
        </w:rPr>
        <w:t>Nicht gefördert werden können:</w:t>
      </w:r>
    </w:p>
    <w:p w14:paraId="69B09CB5" w14:textId="77777777" w:rsidR="00F012F7" w:rsidRDefault="00F012F7" w:rsidP="00F012F7"/>
    <w:p w14:paraId="3778B8A0" w14:textId="77777777" w:rsidR="00F012F7" w:rsidRDefault="00F012F7" w:rsidP="00F012F7">
      <w:r>
        <w:t xml:space="preserve">Sprachkurse oder „Staff </w:t>
      </w:r>
      <w:proofErr w:type="spellStart"/>
      <w:r>
        <w:t>Weeks</w:t>
      </w:r>
      <w:proofErr w:type="spellEnd"/>
      <w:r>
        <w:t>“, die zu mehr als 25 % aus Sprachkursen bestehen</w:t>
      </w:r>
    </w:p>
    <w:p w14:paraId="2D4FA90B" w14:textId="3F61F317" w:rsidR="00F012F7" w:rsidRDefault="00F012F7" w:rsidP="00F012F7">
      <w:r>
        <w:t>IT</w:t>
      </w:r>
      <w:r w:rsidR="00FB693F">
        <w:t>-</w:t>
      </w:r>
      <w:r>
        <w:t>Kurse</w:t>
      </w:r>
    </w:p>
    <w:p w14:paraId="6414D972" w14:textId="77777777" w:rsidR="00EF6FDC" w:rsidRPr="00D930F0" w:rsidRDefault="00EF6FDC" w:rsidP="00EF6FDC">
      <w:pPr>
        <w:rPr>
          <w:b/>
        </w:rPr>
      </w:pPr>
    </w:p>
    <w:p w14:paraId="0EE6CB13" w14:textId="77777777" w:rsidR="00F012F7" w:rsidRDefault="00F012F7">
      <w:pPr>
        <w:rPr>
          <w:b/>
        </w:rPr>
      </w:pPr>
      <w:r>
        <w:rPr>
          <w:b/>
        </w:rPr>
        <w:br w:type="page"/>
      </w:r>
    </w:p>
    <w:p w14:paraId="47095784" w14:textId="77777777" w:rsidR="00417BFD" w:rsidRDefault="00EF6FDC">
      <w:r w:rsidRPr="00D930F0">
        <w:rPr>
          <w:b/>
        </w:rPr>
        <w:lastRenderedPageBreak/>
        <w:t>Finanzielle Rahmenbedingungen</w:t>
      </w:r>
      <w:r>
        <w:t>:</w:t>
      </w:r>
    </w:p>
    <w:p w14:paraId="4C6F44F5" w14:textId="77777777" w:rsidR="008E4171" w:rsidRDefault="008E4171"/>
    <w:p w14:paraId="63B55B52" w14:textId="3406B704" w:rsidR="000E2BA2" w:rsidRDefault="000E2BA2" w:rsidP="009913D4">
      <w:pPr>
        <w:jc w:val="both"/>
      </w:pPr>
      <w:r>
        <w:t xml:space="preserve">Nach den Regeln </w:t>
      </w:r>
      <w:r w:rsidR="00EF6FDC">
        <w:t xml:space="preserve">des Erasmus+ Programms </w:t>
      </w:r>
      <w:r>
        <w:t xml:space="preserve">wird </w:t>
      </w:r>
      <w:r w:rsidRPr="00A310A1">
        <w:rPr>
          <w:u w:val="single"/>
        </w:rPr>
        <w:t>tageweise</w:t>
      </w:r>
      <w:r>
        <w:t xml:space="preserve"> abgerechnet</w:t>
      </w:r>
      <w:r w:rsidR="008E48B0">
        <w:t>,</w:t>
      </w:r>
      <w:r w:rsidR="00BB745A">
        <w:t xml:space="preserve"> es gelten</w:t>
      </w:r>
      <w:r>
        <w:t xml:space="preserve"> eine einheitliche Förderdauer</w:t>
      </w:r>
      <w:r w:rsidR="00696325">
        <w:t xml:space="preserve"> und nach Länder</w:t>
      </w:r>
      <w:r w:rsidR="00A756DC">
        <w:t>gruppe</w:t>
      </w:r>
      <w:r w:rsidR="00696325">
        <w:t>n festgelegte Förderraten</w:t>
      </w:r>
      <w:r>
        <w:t xml:space="preserve">. Die Förderdauer richtet sich nach den </w:t>
      </w:r>
      <w:r w:rsidR="00A310A1">
        <w:t>begrenzten</w:t>
      </w:r>
      <w:r>
        <w:t xml:space="preserve"> </w:t>
      </w:r>
      <w:r w:rsidR="004C4530">
        <w:t>Dritt</w:t>
      </w:r>
      <w:r>
        <w:t>mittel</w:t>
      </w:r>
      <w:r w:rsidR="00351D1B">
        <w:t>n</w:t>
      </w:r>
      <w:r w:rsidR="00696325">
        <w:t xml:space="preserve"> </w:t>
      </w:r>
      <w:r w:rsidR="00936D42">
        <w:t>im akademischen Jahr</w:t>
      </w:r>
      <w:r w:rsidR="00A310A1">
        <w:t xml:space="preserve"> </w:t>
      </w:r>
      <w:r w:rsidR="004F4555">
        <w:t>2020</w:t>
      </w:r>
      <w:r w:rsidR="00C73823">
        <w:t>/</w:t>
      </w:r>
      <w:r w:rsidR="004F4555">
        <w:t>21</w:t>
      </w:r>
      <w:r w:rsidR="00A310A1">
        <w:t xml:space="preserve"> </w:t>
      </w:r>
      <w:r w:rsidR="00696325">
        <w:t>und wird in de</w:t>
      </w:r>
      <w:r w:rsidR="00DC7666">
        <w:t xml:space="preserve">r </w:t>
      </w:r>
      <w:r w:rsidR="00410D61">
        <w:t>Zu</w:t>
      </w:r>
      <w:r w:rsidR="00DC7666">
        <w:t>schussvereinbarung</w:t>
      </w:r>
      <w:r w:rsidR="00696325">
        <w:t xml:space="preserve"> </w:t>
      </w:r>
      <w:r w:rsidR="008E48B0">
        <w:t xml:space="preserve">zwischen dem </w:t>
      </w:r>
      <w:r w:rsidR="00801587">
        <w:t>Teilnehmer</w:t>
      </w:r>
      <w:r w:rsidR="00351D1B">
        <w:t xml:space="preserve"> </w:t>
      </w:r>
      <w:r w:rsidR="008E48B0">
        <w:t xml:space="preserve">bzw. der </w:t>
      </w:r>
      <w:r w:rsidR="00801587">
        <w:t>Teilnehmerin</w:t>
      </w:r>
      <w:r w:rsidR="008E48B0">
        <w:t xml:space="preserve"> und der Hochschule Bonn-Rhein-Sieg/ International Office </w:t>
      </w:r>
      <w:r w:rsidR="00C178A1">
        <w:rPr>
          <w:b/>
          <w:u w:val="single"/>
        </w:rPr>
        <w:t xml:space="preserve">mit </w:t>
      </w:r>
      <w:r w:rsidR="004F4555">
        <w:rPr>
          <w:b/>
          <w:u w:val="single"/>
        </w:rPr>
        <w:t xml:space="preserve">maximal </w:t>
      </w:r>
      <w:r w:rsidR="00C178A1">
        <w:rPr>
          <w:b/>
          <w:u w:val="single"/>
        </w:rPr>
        <w:t>3</w:t>
      </w:r>
      <w:r w:rsidR="0010385F" w:rsidRPr="00D6534E">
        <w:rPr>
          <w:b/>
          <w:u w:val="single"/>
        </w:rPr>
        <w:t xml:space="preserve"> Tagen</w:t>
      </w:r>
      <w:r w:rsidR="009E65D2" w:rsidRPr="00D6534E">
        <w:rPr>
          <w:b/>
          <w:u w:val="single"/>
        </w:rPr>
        <w:t xml:space="preserve"> </w:t>
      </w:r>
      <w:r w:rsidR="00CF3BA1" w:rsidRPr="00D6534E">
        <w:rPr>
          <w:b/>
          <w:u w:val="single"/>
        </w:rPr>
        <w:t>und 2 zusätzlichen Tagen (für An- und Abreise)</w:t>
      </w:r>
      <w:r w:rsidR="00C178A1">
        <w:rPr>
          <w:b/>
          <w:u w:val="single"/>
        </w:rPr>
        <w:t>, insgesamt 5 Tagen</w:t>
      </w:r>
      <w:r w:rsidR="00CF3BA1">
        <w:t xml:space="preserve"> </w:t>
      </w:r>
      <w:r w:rsidR="00696325">
        <w:t xml:space="preserve">festgelegt. Darüber hinaus </w:t>
      </w:r>
      <w:r w:rsidR="006E02FE">
        <w:t>können</w:t>
      </w:r>
      <w:r w:rsidR="00696325">
        <w:t xml:space="preserve"> keine weiteren Tage gefördert werden</w:t>
      </w:r>
      <w:r>
        <w:t xml:space="preserve">. </w:t>
      </w:r>
    </w:p>
    <w:p w14:paraId="3F7D3D58" w14:textId="77777777" w:rsidR="00696325" w:rsidRDefault="00696325" w:rsidP="00696325">
      <w:pPr>
        <w:ind w:left="360"/>
      </w:pPr>
    </w:p>
    <w:p w14:paraId="42A729AB" w14:textId="76A06663" w:rsidR="00A756DC" w:rsidRDefault="00D26B8C" w:rsidP="009913D4">
      <w:r>
        <w:t>Im akademischen Jahr 202</w:t>
      </w:r>
      <w:r w:rsidR="00A236C0">
        <w:t>2</w:t>
      </w:r>
      <w:r>
        <w:t>/2</w:t>
      </w:r>
      <w:r w:rsidR="00A236C0">
        <w:t>3</w:t>
      </w:r>
      <w:r w:rsidR="00EC3331">
        <w:t xml:space="preserve"> </w:t>
      </w:r>
      <w:r w:rsidR="00696325">
        <w:t>(umfasst WS</w:t>
      </w:r>
      <w:r w:rsidR="00A67722">
        <w:t xml:space="preserve"> </w:t>
      </w:r>
      <w:r>
        <w:t>202</w:t>
      </w:r>
      <w:r w:rsidR="00A236C0">
        <w:t>2</w:t>
      </w:r>
      <w:r w:rsidR="00C178A1">
        <w:t>/</w:t>
      </w:r>
      <w:r>
        <w:t>2</w:t>
      </w:r>
      <w:r w:rsidR="00A236C0">
        <w:t>3</w:t>
      </w:r>
      <w:r>
        <w:t xml:space="preserve"> und </w:t>
      </w:r>
      <w:proofErr w:type="spellStart"/>
      <w:r>
        <w:t>SoSe</w:t>
      </w:r>
      <w:proofErr w:type="spellEnd"/>
      <w:r>
        <w:t xml:space="preserve"> 202</w:t>
      </w:r>
      <w:r w:rsidR="00A236C0">
        <w:t>3</w:t>
      </w:r>
      <w:r w:rsidR="00696325">
        <w:t xml:space="preserve">) gelten folgende </w:t>
      </w:r>
      <w:r w:rsidR="00696325" w:rsidRPr="00A310A1">
        <w:rPr>
          <w:b/>
        </w:rPr>
        <w:t>Förderraten</w:t>
      </w:r>
      <w:r w:rsidR="008E48B0" w:rsidRPr="00A310A1">
        <w:rPr>
          <w:b/>
        </w:rPr>
        <w:t xml:space="preserve"> pro </w:t>
      </w:r>
      <w:r w:rsidR="00351D1B" w:rsidRPr="00A310A1">
        <w:rPr>
          <w:b/>
        </w:rPr>
        <w:t>Tag</w:t>
      </w:r>
      <w:r w:rsidR="008E48B0">
        <w:t xml:space="preserve"> für folgende </w:t>
      </w:r>
      <w:r w:rsidR="00B76522">
        <w:t>Zielländer</w:t>
      </w:r>
      <w:r w:rsidR="00696325">
        <w:t>:</w:t>
      </w:r>
    </w:p>
    <w:p w14:paraId="7B3ECC3E" w14:textId="77777777" w:rsidR="00A236C0" w:rsidRDefault="00A236C0" w:rsidP="009913D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4C0D" w14:paraId="167DDE53" w14:textId="77777777" w:rsidTr="00784C0D">
        <w:tc>
          <w:tcPr>
            <w:tcW w:w="9060" w:type="dxa"/>
          </w:tcPr>
          <w:p w14:paraId="17AEADBB" w14:textId="77777777" w:rsidR="00A236C0" w:rsidRDefault="00784C0D" w:rsidP="009913D4">
            <w:pPr>
              <w:jc w:val="both"/>
            </w:pPr>
            <w:r w:rsidRPr="006B757E">
              <w:t>Dänemark, Finnland, Irland, Island, Liechtenstein,</w:t>
            </w:r>
            <w:r>
              <w:t xml:space="preserve"> Luxemburg, Norwegen, Schweden: </w:t>
            </w:r>
          </w:p>
          <w:p w14:paraId="2C5D687A" w14:textId="332E70EB" w:rsidR="00784C0D" w:rsidRDefault="00784C0D" w:rsidP="009913D4">
            <w:pPr>
              <w:jc w:val="both"/>
            </w:pPr>
            <w:r w:rsidRPr="00A236C0">
              <w:rPr>
                <w:b/>
              </w:rPr>
              <w:t>180 €</w:t>
            </w:r>
          </w:p>
        </w:tc>
      </w:tr>
      <w:tr w:rsidR="00784C0D" w14:paraId="66B35157" w14:textId="77777777" w:rsidTr="00784C0D">
        <w:tc>
          <w:tcPr>
            <w:tcW w:w="9060" w:type="dxa"/>
          </w:tcPr>
          <w:p w14:paraId="75C6CCFF" w14:textId="428BD5F0" w:rsidR="00784C0D" w:rsidRDefault="00784C0D" w:rsidP="009913D4">
            <w:pPr>
              <w:jc w:val="both"/>
            </w:pPr>
            <w:r w:rsidRPr="006B757E">
              <w:t xml:space="preserve">Belgien, Frankreich, Griechenland, Italien, </w:t>
            </w:r>
            <w:r>
              <w:t>Malta, Niederlande,</w:t>
            </w:r>
            <w:r w:rsidRPr="006B757E">
              <w:t xml:space="preserve"> Österreich, </w:t>
            </w:r>
            <w:r>
              <w:t xml:space="preserve">Portugal, Spanien, Zypern: </w:t>
            </w:r>
            <w:r w:rsidRPr="00A236C0">
              <w:rPr>
                <w:b/>
              </w:rPr>
              <w:t>160 €</w:t>
            </w:r>
          </w:p>
        </w:tc>
      </w:tr>
      <w:tr w:rsidR="00784C0D" w14:paraId="40B4ECBD" w14:textId="77777777" w:rsidTr="00784C0D">
        <w:tc>
          <w:tcPr>
            <w:tcW w:w="9060" w:type="dxa"/>
          </w:tcPr>
          <w:p w14:paraId="08445671" w14:textId="2373554E" w:rsidR="00784C0D" w:rsidRDefault="00A236C0" w:rsidP="009913D4">
            <w:pPr>
              <w:jc w:val="both"/>
            </w:pPr>
            <w:r w:rsidRPr="006B757E">
              <w:t xml:space="preserve">Bulgarien, Estland, Kroatien, Lettland, Litauen, </w:t>
            </w:r>
            <w:r>
              <w:t xml:space="preserve">Nordmazedonien, </w:t>
            </w:r>
            <w:r w:rsidRPr="006B757E">
              <w:t>Polen, Rumänien,</w:t>
            </w:r>
            <w:r>
              <w:t xml:space="preserve"> Serbien, Slowakei, Slowenien, Tschechische Republik, Türkei, Ungarn: </w:t>
            </w:r>
            <w:r w:rsidRPr="00A236C0">
              <w:rPr>
                <w:b/>
              </w:rPr>
              <w:t>140 €</w:t>
            </w:r>
          </w:p>
        </w:tc>
      </w:tr>
    </w:tbl>
    <w:p w14:paraId="2F48F1FE" w14:textId="77777777" w:rsidR="00784C0D" w:rsidRDefault="00784C0D" w:rsidP="009913D4">
      <w:pPr>
        <w:jc w:val="both"/>
      </w:pPr>
    </w:p>
    <w:p w14:paraId="0231221A" w14:textId="77777777" w:rsidR="00023AC8" w:rsidRDefault="00023AC8" w:rsidP="009913D4">
      <w:pPr>
        <w:jc w:val="both"/>
      </w:pPr>
    </w:p>
    <w:p w14:paraId="1B721A0B" w14:textId="77777777" w:rsidR="0010385F" w:rsidRDefault="0010385F" w:rsidP="009913D4">
      <w:pPr>
        <w:jc w:val="both"/>
      </w:pPr>
      <w:r>
        <w:t xml:space="preserve">Außerdem werden die </w:t>
      </w:r>
      <w:r w:rsidRPr="0025333B">
        <w:rPr>
          <w:b/>
          <w:u w:val="single"/>
        </w:rPr>
        <w:t>Fahrtkosten</w:t>
      </w:r>
      <w:r>
        <w:t xml:space="preserve"> als sog. Stückkosten erstattet, die mit Hilfe des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Calculators</w:t>
      </w:r>
      <w:proofErr w:type="spellEnd"/>
      <w:r>
        <w:t xml:space="preserve"> der EU Kommission berechnet w</w:t>
      </w:r>
      <w:r w:rsidR="00CD2BDB">
        <w:t>e</w:t>
      </w:r>
      <w:r>
        <w:t xml:space="preserve">rden </w:t>
      </w:r>
      <w:r w:rsidR="00CD2BDB">
        <w:t xml:space="preserve">müssen </w:t>
      </w:r>
      <w:r>
        <w:t xml:space="preserve">(siehe </w:t>
      </w:r>
      <w:hyperlink r:id="rId6" w:history="1">
        <w:proofErr w:type="spellStart"/>
        <w:r w:rsidR="00FD45FE">
          <w:rPr>
            <w:rStyle w:val="Hyperlink"/>
          </w:rPr>
          <w:t>Distance</w:t>
        </w:r>
        <w:proofErr w:type="spellEnd"/>
        <w:r w:rsidR="00FD45FE">
          <w:rPr>
            <w:rStyle w:val="Hyperlink"/>
          </w:rPr>
          <w:t xml:space="preserve"> </w:t>
        </w:r>
        <w:proofErr w:type="spellStart"/>
        <w:r w:rsidR="00FD45FE">
          <w:rPr>
            <w:rStyle w:val="Hyperlink"/>
          </w:rPr>
          <w:t>Calculator</w:t>
        </w:r>
        <w:proofErr w:type="spellEnd"/>
        <w:r w:rsidR="00FD45FE">
          <w:rPr>
            <w:rStyle w:val="Hyperlink"/>
          </w:rPr>
          <w:t xml:space="preserve"> | Erasmus+ (europa.eu)</w:t>
        </w:r>
      </w:hyperlink>
      <w:r w:rsidR="00DE638B">
        <w:t xml:space="preserve"> </w:t>
      </w:r>
      <w:r>
        <w:t xml:space="preserve">). Der Abreiseort muss </w:t>
      </w:r>
      <w:r w:rsidR="0025333B">
        <w:t xml:space="preserve">dabei </w:t>
      </w:r>
      <w:r>
        <w:t xml:space="preserve">nicht mit dem Sitz der Hochschule Bonn-Rhein-Sieg übereinstimmen. Für diesen Fall sind die Reisebelege als Nachweis für den tatsächlichen An- und Abreiseort aufzubewahren. </w:t>
      </w:r>
      <w:r w:rsidR="00CD2BDB">
        <w:t xml:space="preserve">Wichtig: </w:t>
      </w:r>
      <w:r>
        <w:t>Der aus der</w:t>
      </w:r>
      <w:r w:rsidR="0025333B">
        <w:t xml:space="preserve"> </w:t>
      </w:r>
      <w:r>
        <w:t>Tabelle mit dieser einfachen Distanz ermittelte Stückkostenbetrag bezieht sich auf die gesamte Fahrt (Hin- und Rückfahrt):</w:t>
      </w:r>
    </w:p>
    <w:p w14:paraId="76D76336" w14:textId="77777777" w:rsidR="004856BF" w:rsidRPr="00C74F13" w:rsidRDefault="004856BF" w:rsidP="004856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15508" w14:paraId="360F7E1E" w14:textId="77777777" w:rsidTr="00515508">
        <w:tc>
          <w:tcPr>
            <w:tcW w:w="3020" w:type="dxa"/>
          </w:tcPr>
          <w:p w14:paraId="21CBC634" w14:textId="1A8C15C7" w:rsidR="00515508" w:rsidRDefault="00515508" w:rsidP="00515508">
            <w:r>
              <w:t xml:space="preserve">Einfache Entfernung gemäß </w:t>
            </w:r>
            <w:proofErr w:type="spellStart"/>
            <w:r>
              <w:t>Distanzrehner</w:t>
            </w:r>
            <w:proofErr w:type="spellEnd"/>
          </w:p>
        </w:tc>
        <w:tc>
          <w:tcPr>
            <w:tcW w:w="3020" w:type="dxa"/>
          </w:tcPr>
          <w:p w14:paraId="3B574123" w14:textId="77777777" w:rsidR="00515508" w:rsidRPr="00C74F13" w:rsidRDefault="00515508" w:rsidP="00515508">
            <w:r w:rsidRPr="00C74F13">
              <w:t>Betrag (Stückkosten) pro Teilnehmer</w:t>
            </w:r>
            <w:r>
              <w:t xml:space="preserve"> </w:t>
            </w:r>
          </w:p>
          <w:p w14:paraId="217F882B" w14:textId="1D6AB57B" w:rsidR="00515508" w:rsidRDefault="00515508" w:rsidP="00515508">
            <w:r w:rsidRPr="00C74F13">
              <w:t>(= Hin- und Rückfahrt)</w:t>
            </w:r>
          </w:p>
        </w:tc>
        <w:tc>
          <w:tcPr>
            <w:tcW w:w="3020" w:type="dxa"/>
          </w:tcPr>
          <w:p w14:paraId="349793D7" w14:textId="3B68B525" w:rsidR="00515508" w:rsidRDefault="00515508" w:rsidP="00515508">
            <w:r>
              <w:t>Umweltfreundliches Reisen</w:t>
            </w:r>
          </w:p>
        </w:tc>
      </w:tr>
      <w:tr w:rsidR="00515508" w14:paraId="0D3976BB" w14:textId="77777777" w:rsidTr="00515508">
        <w:tc>
          <w:tcPr>
            <w:tcW w:w="3020" w:type="dxa"/>
          </w:tcPr>
          <w:p w14:paraId="0B6604AA" w14:textId="290DE315" w:rsidR="00515508" w:rsidRDefault="00515508" w:rsidP="00515508">
            <w:r>
              <w:t>10-99 km</w:t>
            </w:r>
          </w:p>
        </w:tc>
        <w:tc>
          <w:tcPr>
            <w:tcW w:w="3020" w:type="dxa"/>
          </w:tcPr>
          <w:p w14:paraId="63CDB756" w14:textId="585E57B8" w:rsidR="00515508" w:rsidRDefault="00515508" w:rsidP="00515508">
            <w:r>
              <w:t xml:space="preserve">  2</w:t>
            </w:r>
            <w:r w:rsidR="00023AC8">
              <w:t>0</w:t>
            </w:r>
            <w:r>
              <w:t xml:space="preserve"> </w:t>
            </w:r>
            <w:r w:rsidRPr="00C74F13">
              <w:t>€</w:t>
            </w:r>
          </w:p>
        </w:tc>
        <w:tc>
          <w:tcPr>
            <w:tcW w:w="3020" w:type="dxa"/>
          </w:tcPr>
          <w:p w14:paraId="65FF4651" w14:textId="77777777" w:rsidR="00515508" w:rsidRDefault="00515508" w:rsidP="00515508"/>
        </w:tc>
      </w:tr>
      <w:tr w:rsidR="00515508" w14:paraId="6703B469" w14:textId="77777777" w:rsidTr="00515508">
        <w:tc>
          <w:tcPr>
            <w:tcW w:w="3020" w:type="dxa"/>
          </w:tcPr>
          <w:p w14:paraId="708CAD96" w14:textId="14CD5654" w:rsidR="00515508" w:rsidRDefault="00515508" w:rsidP="00515508">
            <w:r w:rsidRPr="00C74F13">
              <w:t>100 – 499 km</w:t>
            </w:r>
          </w:p>
        </w:tc>
        <w:tc>
          <w:tcPr>
            <w:tcW w:w="3020" w:type="dxa"/>
          </w:tcPr>
          <w:p w14:paraId="5FEC4289" w14:textId="178134B2" w:rsidR="00515508" w:rsidRDefault="00515508" w:rsidP="00515508">
            <w:r w:rsidRPr="00C74F13">
              <w:t>180 €</w:t>
            </w:r>
          </w:p>
        </w:tc>
        <w:tc>
          <w:tcPr>
            <w:tcW w:w="3020" w:type="dxa"/>
          </w:tcPr>
          <w:p w14:paraId="05C1631B" w14:textId="422FD017" w:rsidR="00515508" w:rsidRDefault="00515508" w:rsidP="00515508">
            <w:r>
              <w:t>210 €</w:t>
            </w:r>
          </w:p>
        </w:tc>
      </w:tr>
      <w:tr w:rsidR="00515508" w14:paraId="589E7712" w14:textId="77777777" w:rsidTr="00515508">
        <w:tc>
          <w:tcPr>
            <w:tcW w:w="3020" w:type="dxa"/>
          </w:tcPr>
          <w:p w14:paraId="142D036D" w14:textId="247582C0" w:rsidR="00515508" w:rsidRDefault="00515508" w:rsidP="00515508">
            <w:r w:rsidRPr="00C74F13">
              <w:t>500 – 1.999 km</w:t>
            </w:r>
          </w:p>
        </w:tc>
        <w:tc>
          <w:tcPr>
            <w:tcW w:w="3020" w:type="dxa"/>
          </w:tcPr>
          <w:p w14:paraId="1DE939ED" w14:textId="52CF5719" w:rsidR="00515508" w:rsidRDefault="00515508" w:rsidP="00515508">
            <w:r w:rsidRPr="00C74F13">
              <w:t>275 €</w:t>
            </w:r>
          </w:p>
        </w:tc>
        <w:tc>
          <w:tcPr>
            <w:tcW w:w="3020" w:type="dxa"/>
          </w:tcPr>
          <w:p w14:paraId="175FFDF6" w14:textId="6EC319D4" w:rsidR="00515508" w:rsidRDefault="00515508" w:rsidP="00515508">
            <w:r>
              <w:t>320 €</w:t>
            </w:r>
          </w:p>
        </w:tc>
      </w:tr>
      <w:tr w:rsidR="00515508" w14:paraId="2E7C8F64" w14:textId="77777777" w:rsidTr="00515508">
        <w:tc>
          <w:tcPr>
            <w:tcW w:w="3020" w:type="dxa"/>
          </w:tcPr>
          <w:p w14:paraId="524AC9ED" w14:textId="4B25B5FF" w:rsidR="00515508" w:rsidRDefault="00515508" w:rsidP="00515508">
            <w:r w:rsidRPr="00C74F13">
              <w:t>2.000 – 2.999 km</w:t>
            </w:r>
          </w:p>
        </w:tc>
        <w:tc>
          <w:tcPr>
            <w:tcW w:w="3020" w:type="dxa"/>
          </w:tcPr>
          <w:p w14:paraId="1A316184" w14:textId="774D2A07" w:rsidR="00515508" w:rsidRDefault="00515508" w:rsidP="00515508">
            <w:r w:rsidRPr="00C74F13">
              <w:t>360 €</w:t>
            </w:r>
          </w:p>
        </w:tc>
        <w:tc>
          <w:tcPr>
            <w:tcW w:w="3020" w:type="dxa"/>
          </w:tcPr>
          <w:p w14:paraId="7376C550" w14:textId="76483970" w:rsidR="00515508" w:rsidRDefault="00515508" w:rsidP="00515508">
            <w:r>
              <w:t>410 €</w:t>
            </w:r>
          </w:p>
        </w:tc>
      </w:tr>
      <w:tr w:rsidR="00515508" w14:paraId="65CCCEE5" w14:textId="77777777" w:rsidTr="00515508">
        <w:tc>
          <w:tcPr>
            <w:tcW w:w="3020" w:type="dxa"/>
          </w:tcPr>
          <w:p w14:paraId="7B95B695" w14:textId="00C3E4F6" w:rsidR="00515508" w:rsidRDefault="00515508" w:rsidP="00515508">
            <w:r w:rsidRPr="00C74F13">
              <w:t>3.000 – 3.999 km</w:t>
            </w:r>
          </w:p>
        </w:tc>
        <w:tc>
          <w:tcPr>
            <w:tcW w:w="3020" w:type="dxa"/>
          </w:tcPr>
          <w:p w14:paraId="398A685E" w14:textId="6652477A" w:rsidR="00515508" w:rsidRDefault="00515508" w:rsidP="00515508">
            <w:r w:rsidRPr="00C74F13">
              <w:t>530 €</w:t>
            </w:r>
          </w:p>
        </w:tc>
        <w:tc>
          <w:tcPr>
            <w:tcW w:w="3020" w:type="dxa"/>
          </w:tcPr>
          <w:p w14:paraId="0DD2A9E8" w14:textId="25019F6F" w:rsidR="00515508" w:rsidRDefault="00515508" w:rsidP="00515508">
            <w:r>
              <w:t>610 €</w:t>
            </w:r>
          </w:p>
        </w:tc>
      </w:tr>
      <w:tr w:rsidR="00515508" w14:paraId="086AF3D2" w14:textId="77777777" w:rsidTr="00515508">
        <w:tc>
          <w:tcPr>
            <w:tcW w:w="3020" w:type="dxa"/>
          </w:tcPr>
          <w:p w14:paraId="7D2A0812" w14:textId="7633655D" w:rsidR="00515508" w:rsidRDefault="00515508" w:rsidP="00515508">
            <w:r w:rsidRPr="00C74F13">
              <w:t>4.000 – 7.999 km</w:t>
            </w:r>
          </w:p>
        </w:tc>
        <w:tc>
          <w:tcPr>
            <w:tcW w:w="3020" w:type="dxa"/>
          </w:tcPr>
          <w:p w14:paraId="5084956C" w14:textId="7D8CF3C0" w:rsidR="00515508" w:rsidRDefault="00515508" w:rsidP="00515508">
            <w:r w:rsidRPr="00C74F13">
              <w:t>820 €</w:t>
            </w:r>
          </w:p>
        </w:tc>
        <w:tc>
          <w:tcPr>
            <w:tcW w:w="3020" w:type="dxa"/>
          </w:tcPr>
          <w:p w14:paraId="096525E2" w14:textId="77777777" w:rsidR="00515508" w:rsidRDefault="00515508" w:rsidP="00515508"/>
        </w:tc>
      </w:tr>
      <w:tr w:rsidR="00515508" w14:paraId="707539D5" w14:textId="77777777" w:rsidTr="00515508">
        <w:tc>
          <w:tcPr>
            <w:tcW w:w="3020" w:type="dxa"/>
          </w:tcPr>
          <w:p w14:paraId="0A1872EB" w14:textId="2CC4A33D" w:rsidR="00515508" w:rsidRDefault="00515508" w:rsidP="00515508">
            <w:r w:rsidRPr="00C74F13">
              <w:t>8.000 km und mehr</w:t>
            </w:r>
          </w:p>
        </w:tc>
        <w:tc>
          <w:tcPr>
            <w:tcW w:w="3020" w:type="dxa"/>
          </w:tcPr>
          <w:p w14:paraId="66FD5A9D" w14:textId="23700430" w:rsidR="00515508" w:rsidRDefault="00515508" w:rsidP="00515508">
            <w:r w:rsidRPr="00C74F13">
              <w:t>1.500 €</w:t>
            </w:r>
          </w:p>
        </w:tc>
        <w:tc>
          <w:tcPr>
            <w:tcW w:w="3020" w:type="dxa"/>
          </w:tcPr>
          <w:p w14:paraId="208A308C" w14:textId="77777777" w:rsidR="00515508" w:rsidRDefault="00515508" w:rsidP="00515508"/>
        </w:tc>
      </w:tr>
    </w:tbl>
    <w:p w14:paraId="2908D06D" w14:textId="77777777" w:rsidR="00515508" w:rsidRDefault="00515508" w:rsidP="004856BF"/>
    <w:p w14:paraId="40060108" w14:textId="3AFA2276" w:rsidR="00AE11EB" w:rsidRDefault="0039525A" w:rsidP="004856BF">
      <w:r>
        <w:t xml:space="preserve">Hinweis: </w:t>
      </w:r>
      <w:r w:rsidR="00F30454">
        <w:t xml:space="preserve">Inklusion und Chancengerechtigkeit sind zentrale Anliegen des Erasmus+ Programms. </w:t>
      </w:r>
      <w:r w:rsidR="00085279">
        <w:t>Teilnehmende Personen mit einem Grad der Behinderung (</w:t>
      </w:r>
      <w:proofErr w:type="spellStart"/>
      <w:r w:rsidR="00085279">
        <w:t>GdB</w:t>
      </w:r>
      <w:proofErr w:type="spellEnd"/>
      <w:r w:rsidR="00085279">
        <w:t>) von mindestens 50 können eine Sonderförderung beantragen.</w:t>
      </w:r>
      <w:r w:rsidR="00F30454">
        <w:t xml:space="preserve"> Für weitere Informationen hierzu sprechen Sie uns gerne an. </w:t>
      </w:r>
    </w:p>
    <w:p w14:paraId="416277D5" w14:textId="77777777" w:rsidR="00AE11EB" w:rsidRDefault="00AE11EB">
      <w:r>
        <w:br w:type="page"/>
      </w:r>
    </w:p>
    <w:p w14:paraId="799BFDBE" w14:textId="77777777" w:rsidR="00085279" w:rsidRDefault="00085279" w:rsidP="004856BF"/>
    <w:p w14:paraId="70625A48" w14:textId="77777777" w:rsidR="00D9343B" w:rsidRDefault="00D9343B" w:rsidP="004856BF"/>
    <w:p w14:paraId="082E6A88" w14:textId="77777777" w:rsidR="00936D42" w:rsidRDefault="00EC2AF3" w:rsidP="00696325">
      <w:pPr>
        <w:ind w:left="360"/>
        <w:rPr>
          <w:b/>
        </w:rPr>
      </w:pPr>
      <w:r w:rsidRPr="00EC2AF3">
        <w:rPr>
          <w:b/>
        </w:rPr>
        <w:t>* Erläuterungen</w:t>
      </w:r>
    </w:p>
    <w:p w14:paraId="77B985F2" w14:textId="77777777" w:rsidR="00936D42" w:rsidRPr="00EE099F" w:rsidRDefault="00936D42" w:rsidP="00696325">
      <w:pPr>
        <w:ind w:left="360"/>
        <w:rPr>
          <w:b/>
        </w:rPr>
      </w:pPr>
      <w:r>
        <w:rPr>
          <w:b/>
        </w:rPr>
        <w:t>Die Mobilität kann an einer der Erasmus+ Partnerhochschulen der Hochschule Bonn-Rhein-Sieg stattfinden, aber auch an anderen Hochschulen, die über eine</w:t>
      </w:r>
    </w:p>
    <w:p w14:paraId="23548B01" w14:textId="77777777" w:rsidR="00D6534E" w:rsidRPr="00066D0B" w:rsidRDefault="00D6534E" w:rsidP="00D6534E">
      <w:pPr>
        <w:ind w:left="360"/>
      </w:pPr>
      <w:r w:rsidRPr="00066D0B">
        <w:rPr>
          <w:b/>
        </w:rPr>
        <w:t>ECHE</w:t>
      </w:r>
      <w:r w:rsidRPr="00066D0B">
        <w:t xml:space="preserve">: </w:t>
      </w:r>
      <w:r w:rsidRPr="00066D0B">
        <w:rPr>
          <w:b/>
        </w:rPr>
        <w:t>E</w:t>
      </w:r>
      <w:r w:rsidRPr="00066D0B">
        <w:t xml:space="preserve">rasmus </w:t>
      </w:r>
      <w:r w:rsidRPr="00066D0B">
        <w:rPr>
          <w:b/>
        </w:rPr>
        <w:t>C</w:t>
      </w:r>
      <w:r w:rsidRPr="00066D0B">
        <w:t xml:space="preserve">harter for </w:t>
      </w:r>
      <w:r w:rsidRPr="00066D0B">
        <w:rPr>
          <w:b/>
        </w:rPr>
        <w:t>H</w:t>
      </w:r>
      <w:r w:rsidRPr="00066D0B">
        <w:t xml:space="preserve">igher </w:t>
      </w:r>
      <w:r w:rsidRPr="00066D0B">
        <w:rPr>
          <w:b/>
        </w:rPr>
        <w:t>E</w:t>
      </w:r>
      <w:r w:rsidRPr="00066D0B">
        <w:t>ducation</w:t>
      </w:r>
      <w:r w:rsidR="00936D42">
        <w:t xml:space="preserve"> verfügen.</w:t>
      </w:r>
    </w:p>
    <w:p w14:paraId="7D656307" w14:textId="21119217" w:rsidR="00D6534E" w:rsidRDefault="00D6534E" w:rsidP="00936D42">
      <w:pPr>
        <w:ind w:left="360"/>
      </w:pPr>
      <w:r w:rsidRPr="00801587">
        <w:t xml:space="preserve">Listen der Hochschulen mit einer gültigen ECHE sind auf der </w:t>
      </w:r>
      <w:r>
        <w:t>folgenden Internetseite hinterlegt:</w:t>
      </w:r>
      <w:r w:rsidR="00936D42">
        <w:t xml:space="preserve"> </w:t>
      </w:r>
      <w:hyperlink r:id="rId7" w:history="1">
        <w:r w:rsidR="00FD45FE">
          <w:rPr>
            <w:rStyle w:val="Hyperlink"/>
          </w:rPr>
          <w:t>Erasmus Charter for Higher Education | Erasmus+ (europa.eu)</w:t>
        </w:r>
      </w:hyperlink>
    </w:p>
    <w:p w14:paraId="3594F031" w14:textId="77777777" w:rsidR="00936D42" w:rsidRDefault="00936D42" w:rsidP="00936D42"/>
    <w:p w14:paraId="2DCF49F7" w14:textId="77777777" w:rsidR="00936D42" w:rsidRDefault="00936D42" w:rsidP="00D6534E">
      <w:pPr>
        <w:ind w:left="360"/>
      </w:pPr>
      <w:r>
        <w:t>Darüber hinaus kann die Mobilität auch an einer Institution oder einem Unternehmen stattfinden:</w:t>
      </w:r>
    </w:p>
    <w:p w14:paraId="04554B1F" w14:textId="77777777" w:rsidR="00936D42" w:rsidRDefault="00936D42" w:rsidP="00D6534E">
      <w:pPr>
        <w:ind w:left="360"/>
      </w:pPr>
    </w:p>
    <w:p w14:paraId="572F9530" w14:textId="77777777" w:rsidR="00597BCB" w:rsidRPr="007E0E3F" w:rsidRDefault="00597BCB" w:rsidP="007E0E3F">
      <w:pPr>
        <w:pStyle w:val="Listenabsatz"/>
        <w:numPr>
          <w:ilvl w:val="0"/>
          <w:numId w:val="4"/>
        </w:numPr>
        <w:rPr>
          <w:rFonts w:eastAsiaTheme="minorHAnsi"/>
        </w:rPr>
      </w:pPr>
      <w:r w:rsidRPr="007E0E3F">
        <w:rPr>
          <w:rFonts w:eastAsiaTheme="minorHAnsi"/>
        </w:rPr>
        <w:t xml:space="preserve">Öffentliche und private kleine, mittlere oder große Unternehmen (einschließlich gemeinwirtschaftlicher Unternehmen) </w:t>
      </w:r>
    </w:p>
    <w:p w14:paraId="577B43BA" w14:textId="77777777" w:rsidR="00597BCB" w:rsidRPr="007E0E3F" w:rsidRDefault="00597BCB" w:rsidP="007E0E3F">
      <w:pPr>
        <w:pStyle w:val="Listenabsatz"/>
        <w:numPr>
          <w:ilvl w:val="0"/>
          <w:numId w:val="4"/>
        </w:numPr>
        <w:rPr>
          <w:rFonts w:eastAsiaTheme="minorHAnsi"/>
        </w:rPr>
      </w:pPr>
      <w:r w:rsidRPr="007E0E3F">
        <w:rPr>
          <w:rFonts w:eastAsiaTheme="minorHAnsi"/>
        </w:rPr>
        <w:t>Lokale, regionale oder nationale öffentliche Stellen</w:t>
      </w:r>
    </w:p>
    <w:p w14:paraId="2EE228FD" w14:textId="77777777" w:rsidR="00597BCB" w:rsidRPr="007E0E3F" w:rsidRDefault="00597BCB" w:rsidP="007E0E3F">
      <w:pPr>
        <w:pStyle w:val="Listenabsatz"/>
        <w:numPr>
          <w:ilvl w:val="0"/>
          <w:numId w:val="4"/>
        </w:numPr>
        <w:rPr>
          <w:rFonts w:eastAsiaTheme="minorHAnsi"/>
        </w:rPr>
      </w:pPr>
      <w:r w:rsidRPr="007E0E3F">
        <w:rPr>
          <w:rFonts w:eastAsiaTheme="minorHAnsi"/>
        </w:rPr>
        <w:t>Sozialpartner oder ein sonstiger Vertreter des Arbeitsmarktes (u.a. Handelskammern, Handwerks- oder Berufsverbä</w:t>
      </w:r>
      <w:r w:rsidR="007E0E3F">
        <w:rPr>
          <w:rFonts w:eastAsiaTheme="minorHAnsi"/>
        </w:rPr>
        <w:t>n</w:t>
      </w:r>
      <w:r w:rsidRPr="007E0E3F">
        <w:rPr>
          <w:rFonts w:eastAsiaTheme="minorHAnsi"/>
        </w:rPr>
        <w:t>de und Gewerkschaften)</w:t>
      </w:r>
    </w:p>
    <w:p w14:paraId="354B3366" w14:textId="77777777" w:rsidR="00597BCB" w:rsidRPr="007E0E3F" w:rsidRDefault="00B50E83" w:rsidP="007E0E3F">
      <w:pPr>
        <w:pStyle w:val="Listenabsatz"/>
        <w:numPr>
          <w:ilvl w:val="0"/>
          <w:numId w:val="4"/>
        </w:numPr>
        <w:rPr>
          <w:rFonts w:eastAsiaTheme="minorHAnsi"/>
        </w:rPr>
      </w:pPr>
      <w:r>
        <w:rPr>
          <w:rFonts w:eastAsiaTheme="minorHAnsi"/>
        </w:rPr>
        <w:t xml:space="preserve">Hochschulen und </w:t>
      </w:r>
      <w:r w:rsidR="00597BCB" w:rsidRPr="007E0E3F">
        <w:rPr>
          <w:rFonts w:eastAsiaTheme="minorHAnsi"/>
        </w:rPr>
        <w:t>Forschungseinrichtungen</w:t>
      </w:r>
    </w:p>
    <w:p w14:paraId="20FFA074" w14:textId="77777777" w:rsidR="00597BCB" w:rsidRPr="007E0E3F" w:rsidRDefault="00597BCB" w:rsidP="007E0E3F">
      <w:pPr>
        <w:pStyle w:val="Listenabsatz"/>
        <w:numPr>
          <w:ilvl w:val="0"/>
          <w:numId w:val="4"/>
        </w:numPr>
        <w:rPr>
          <w:rFonts w:eastAsiaTheme="minorHAnsi"/>
        </w:rPr>
      </w:pPr>
      <w:r w:rsidRPr="007E0E3F">
        <w:rPr>
          <w:rFonts w:eastAsiaTheme="minorHAnsi"/>
        </w:rPr>
        <w:t>Stiftungen</w:t>
      </w:r>
    </w:p>
    <w:p w14:paraId="09BB5829" w14:textId="77777777" w:rsidR="00597BCB" w:rsidRPr="007E0E3F" w:rsidRDefault="00597BCB" w:rsidP="007E0E3F">
      <w:pPr>
        <w:pStyle w:val="Listenabsatz"/>
        <w:numPr>
          <w:ilvl w:val="0"/>
          <w:numId w:val="4"/>
        </w:numPr>
        <w:rPr>
          <w:rFonts w:eastAsiaTheme="minorHAnsi"/>
        </w:rPr>
      </w:pPr>
      <w:r w:rsidRPr="007E0E3F">
        <w:rPr>
          <w:rFonts w:eastAsiaTheme="minorHAnsi"/>
        </w:rPr>
        <w:t>Schulen/ Institute/ Bildungszentren (vom Vorschulbereich über die Sekundarstufe II einschließlich Einrichtungen bis zur Berufs- und der Erwachsenenbildung)</w:t>
      </w:r>
    </w:p>
    <w:p w14:paraId="7331E473" w14:textId="77777777" w:rsidR="00597BCB" w:rsidRPr="007E0E3F" w:rsidRDefault="00597BCB" w:rsidP="007E0E3F">
      <w:pPr>
        <w:pStyle w:val="Listenabsatz"/>
        <w:numPr>
          <w:ilvl w:val="0"/>
          <w:numId w:val="4"/>
        </w:numPr>
        <w:rPr>
          <w:rFonts w:eastAsiaTheme="minorHAnsi"/>
        </w:rPr>
      </w:pPr>
      <w:r w:rsidRPr="007E0E3F">
        <w:rPr>
          <w:rFonts w:eastAsiaTheme="minorHAnsi"/>
        </w:rPr>
        <w:t>gemeinnützige Organisationen, Verbände, Nichtregierungsorganisationen</w:t>
      </w:r>
    </w:p>
    <w:p w14:paraId="5C15FB86" w14:textId="77777777" w:rsidR="00597BCB" w:rsidRDefault="00597BCB" w:rsidP="007E0E3F">
      <w:pPr>
        <w:pStyle w:val="Listenabsatz"/>
        <w:numPr>
          <w:ilvl w:val="0"/>
          <w:numId w:val="4"/>
        </w:numPr>
        <w:rPr>
          <w:rFonts w:eastAsiaTheme="minorHAnsi"/>
        </w:rPr>
      </w:pPr>
      <w:r w:rsidRPr="007E0E3F">
        <w:rPr>
          <w:rFonts w:eastAsiaTheme="minorHAnsi"/>
        </w:rPr>
        <w:t>Laufbahnberatungs-, Berufsberatungs- und Informationsstellen</w:t>
      </w:r>
    </w:p>
    <w:p w14:paraId="525F254F" w14:textId="77777777" w:rsidR="00891862" w:rsidRDefault="00891862" w:rsidP="00891862">
      <w:pPr>
        <w:rPr>
          <w:rFonts w:eastAsiaTheme="minorHAnsi"/>
        </w:rPr>
      </w:pPr>
    </w:p>
    <w:p w14:paraId="27273B8A" w14:textId="77777777" w:rsidR="00AE11EB" w:rsidRDefault="00AE11EB" w:rsidP="00891862">
      <w:pPr>
        <w:rPr>
          <w:b/>
        </w:rPr>
      </w:pPr>
    </w:p>
    <w:p w14:paraId="2723EFEE" w14:textId="77777777" w:rsidR="00891862" w:rsidRPr="0086284D" w:rsidRDefault="00891862" w:rsidP="00891862">
      <w:pPr>
        <w:rPr>
          <w:b/>
        </w:rPr>
      </w:pPr>
      <w:r w:rsidRPr="0086284D">
        <w:rPr>
          <w:b/>
        </w:rPr>
        <w:t>Ansprechpartnerin im International Office:</w:t>
      </w:r>
    </w:p>
    <w:p w14:paraId="28B84C4A" w14:textId="1C4EFED6" w:rsidR="00891862" w:rsidRPr="0086284D" w:rsidRDefault="0086284D" w:rsidP="00891862">
      <w:r w:rsidRPr="0086284D">
        <w:t>Birgit Henn</w:t>
      </w:r>
      <w:r w:rsidR="00891862" w:rsidRPr="0086284D">
        <w:t xml:space="preserve">, </w:t>
      </w:r>
      <w:r w:rsidRPr="0086284D">
        <w:t>birgit.henn@h-brs.de, -707</w:t>
      </w:r>
    </w:p>
    <w:p w14:paraId="415369A8" w14:textId="77777777" w:rsidR="00B61723" w:rsidRPr="0086284D" w:rsidRDefault="00B61723" w:rsidP="00891862"/>
    <w:p w14:paraId="38092367" w14:textId="77777777" w:rsidR="00C055CC" w:rsidRPr="0086284D" w:rsidRDefault="00C055CC" w:rsidP="00891862">
      <w:pPr>
        <w:rPr>
          <w:rFonts w:eastAsiaTheme="minorHAnsi"/>
        </w:rPr>
      </w:pPr>
    </w:p>
    <w:p w14:paraId="51A00A4C" w14:textId="77777777" w:rsidR="005E457C" w:rsidRPr="00AE11EB" w:rsidRDefault="00AE11EB" w:rsidP="004856BF">
      <w:pPr>
        <w:rPr>
          <w:b/>
        </w:rPr>
      </w:pPr>
      <w:r w:rsidRPr="00AE11EB">
        <w:rPr>
          <w:b/>
        </w:rPr>
        <w:t xml:space="preserve">Weitere </w:t>
      </w:r>
      <w:r>
        <w:rPr>
          <w:b/>
        </w:rPr>
        <w:t>Informationen:</w:t>
      </w:r>
    </w:p>
    <w:p w14:paraId="03B7E453" w14:textId="11DC2041" w:rsidR="005E457C" w:rsidRPr="00C30996" w:rsidRDefault="00000000" w:rsidP="00CD4BE8">
      <w:hyperlink r:id="rId8" w:history="1">
        <w:r w:rsidR="00CD4BE8">
          <w:rPr>
            <w:rStyle w:val="Hyperlink"/>
          </w:rPr>
          <w:t>Fort- und Weiterbildungsmöglichkeiten im Ausland – Nationale Agentur für EU-Hochschulzusammenarbeit – DAAD</w:t>
        </w:r>
      </w:hyperlink>
    </w:p>
    <w:sectPr w:rsidR="005E457C" w:rsidRPr="00C30996" w:rsidSect="00BB416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Bahnschrift Ligh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E95"/>
    <w:multiLevelType w:val="hybridMultilevel"/>
    <w:tmpl w:val="A186FA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71EE2"/>
    <w:multiLevelType w:val="hybridMultilevel"/>
    <w:tmpl w:val="FC62E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C14FC"/>
    <w:multiLevelType w:val="hybridMultilevel"/>
    <w:tmpl w:val="3C921F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62ADB"/>
    <w:multiLevelType w:val="hybridMultilevel"/>
    <w:tmpl w:val="A9BC2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867275">
    <w:abstractNumId w:val="0"/>
  </w:num>
  <w:num w:numId="2" w16cid:durableId="605696092">
    <w:abstractNumId w:val="2"/>
  </w:num>
  <w:num w:numId="3" w16cid:durableId="1720661575">
    <w:abstractNumId w:val="3"/>
  </w:num>
  <w:num w:numId="4" w16cid:durableId="1864007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47"/>
    <w:rsid w:val="00002391"/>
    <w:rsid w:val="00023AC8"/>
    <w:rsid w:val="00046495"/>
    <w:rsid w:val="00066D0B"/>
    <w:rsid w:val="00085279"/>
    <w:rsid w:val="000949E6"/>
    <w:rsid w:val="000E2BA2"/>
    <w:rsid w:val="000F10C7"/>
    <w:rsid w:val="00101CC3"/>
    <w:rsid w:val="0010385F"/>
    <w:rsid w:val="001065B8"/>
    <w:rsid w:val="00163D2A"/>
    <w:rsid w:val="001754DB"/>
    <w:rsid w:val="00186739"/>
    <w:rsid w:val="001C3995"/>
    <w:rsid w:val="001E5966"/>
    <w:rsid w:val="00215683"/>
    <w:rsid w:val="0024100F"/>
    <w:rsid w:val="0025333B"/>
    <w:rsid w:val="002B6347"/>
    <w:rsid w:val="002C79BA"/>
    <w:rsid w:val="002E17C7"/>
    <w:rsid w:val="00333490"/>
    <w:rsid w:val="00351D1B"/>
    <w:rsid w:val="0039525A"/>
    <w:rsid w:val="003C6197"/>
    <w:rsid w:val="003E370C"/>
    <w:rsid w:val="003F751E"/>
    <w:rsid w:val="00410D61"/>
    <w:rsid w:val="00417BFD"/>
    <w:rsid w:val="0043039A"/>
    <w:rsid w:val="004313AA"/>
    <w:rsid w:val="00434718"/>
    <w:rsid w:val="00457AC7"/>
    <w:rsid w:val="00473E6D"/>
    <w:rsid w:val="004856BF"/>
    <w:rsid w:val="00485BB6"/>
    <w:rsid w:val="004B447E"/>
    <w:rsid w:val="004C0808"/>
    <w:rsid w:val="004C4530"/>
    <w:rsid w:val="004D3E73"/>
    <w:rsid w:val="004F4002"/>
    <w:rsid w:val="004F4555"/>
    <w:rsid w:val="00502180"/>
    <w:rsid w:val="00502AC6"/>
    <w:rsid w:val="00515508"/>
    <w:rsid w:val="00516165"/>
    <w:rsid w:val="005612DA"/>
    <w:rsid w:val="00566619"/>
    <w:rsid w:val="00591F0F"/>
    <w:rsid w:val="00597BCB"/>
    <w:rsid w:val="005E457C"/>
    <w:rsid w:val="005F7A69"/>
    <w:rsid w:val="006265D8"/>
    <w:rsid w:val="006627FE"/>
    <w:rsid w:val="00686E8D"/>
    <w:rsid w:val="00696325"/>
    <w:rsid w:val="006A14AB"/>
    <w:rsid w:val="006B090D"/>
    <w:rsid w:val="006E02FE"/>
    <w:rsid w:val="006E5292"/>
    <w:rsid w:val="0071220C"/>
    <w:rsid w:val="00782D52"/>
    <w:rsid w:val="00784C0D"/>
    <w:rsid w:val="00795264"/>
    <w:rsid w:val="007B0368"/>
    <w:rsid w:val="007B1670"/>
    <w:rsid w:val="007D0DDD"/>
    <w:rsid w:val="007E0E3F"/>
    <w:rsid w:val="008007B5"/>
    <w:rsid w:val="00801587"/>
    <w:rsid w:val="008024B7"/>
    <w:rsid w:val="00854113"/>
    <w:rsid w:val="0086284D"/>
    <w:rsid w:val="00872C65"/>
    <w:rsid w:val="00891862"/>
    <w:rsid w:val="008A3B3D"/>
    <w:rsid w:val="008E4171"/>
    <w:rsid w:val="008E48B0"/>
    <w:rsid w:val="00936D42"/>
    <w:rsid w:val="00940E99"/>
    <w:rsid w:val="00980F94"/>
    <w:rsid w:val="009913D4"/>
    <w:rsid w:val="009B6680"/>
    <w:rsid w:val="009C3A6C"/>
    <w:rsid w:val="009E65D2"/>
    <w:rsid w:val="009F5A3D"/>
    <w:rsid w:val="00A236C0"/>
    <w:rsid w:val="00A310A1"/>
    <w:rsid w:val="00A40BF8"/>
    <w:rsid w:val="00A44F2F"/>
    <w:rsid w:val="00A67722"/>
    <w:rsid w:val="00A756DC"/>
    <w:rsid w:val="00A778A4"/>
    <w:rsid w:val="00AA6FE9"/>
    <w:rsid w:val="00AE11EB"/>
    <w:rsid w:val="00AF0CE4"/>
    <w:rsid w:val="00B50E83"/>
    <w:rsid w:val="00B52201"/>
    <w:rsid w:val="00B524F5"/>
    <w:rsid w:val="00B55F0B"/>
    <w:rsid w:val="00B61723"/>
    <w:rsid w:val="00B76522"/>
    <w:rsid w:val="00BA0325"/>
    <w:rsid w:val="00BB4164"/>
    <w:rsid w:val="00BB745A"/>
    <w:rsid w:val="00BE6CF9"/>
    <w:rsid w:val="00C055CC"/>
    <w:rsid w:val="00C0577C"/>
    <w:rsid w:val="00C16529"/>
    <w:rsid w:val="00C178A1"/>
    <w:rsid w:val="00C209FC"/>
    <w:rsid w:val="00C30996"/>
    <w:rsid w:val="00C73823"/>
    <w:rsid w:val="00C74F13"/>
    <w:rsid w:val="00C8683F"/>
    <w:rsid w:val="00C975EC"/>
    <w:rsid w:val="00CD2BDB"/>
    <w:rsid w:val="00CD4BE8"/>
    <w:rsid w:val="00CE7E15"/>
    <w:rsid w:val="00CF2094"/>
    <w:rsid w:val="00CF3BA1"/>
    <w:rsid w:val="00CF59DD"/>
    <w:rsid w:val="00CF736B"/>
    <w:rsid w:val="00D21FDE"/>
    <w:rsid w:val="00D26B8C"/>
    <w:rsid w:val="00D3676D"/>
    <w:rsid w:val="00D57ED7"/>
    <w:rsid w:val="00D6534E"/>
    <w:rsid w:val="00D66881"/>
    <w:rsid w:val="00D9343B"/>
    <w:rsid w:val="00DA2C29"/>
    <w:rsid w:val="00DA46FB"/>
    <w:rsid w:val="00DB0F13"/>
    <w:rsid w:val="00DC1129"/>
    <w:rsid w:val="00DC7666"/>
    <w:rsid w:val="00DE0570"/>
    <w:rsid w:val="00DE638B"/>
    <w:rsid w:val="00DF16E9"/>
    <w:rsid w:val="00E13AA0"/>
    <w:rsid w:val="00E2032B"/>
    <w:rsid w:val="00E34D47"/>
    <w:rsid w:val="00E40B23"/>
    <w:rsid w:val="00E5485C"/>
    <w:rsid w:val="00E6174A"/>
    <w:rsid w:val="00E75DC7"/>
    <w:rsid w:val="00E90A84"/>
    <w:rsid w:val="00EC2AF3"/>
    <w:rsid w:val="00EC3331"/>
    <w:rsid w:val="00EE099F"/>
    <w:rsid w:val="00EF6FDC"/>
    <w:rsid w:val="00F012F7"/>
    <w:rsid w:val="00F30454"/>
    <w:rsid w:val="00F31957"/>
    <w:rsid w:val="00F507C4"/>
    <w:rsid w:val="00F55DEC"/>
    <w:rsid w:val="00F62698"/>
    <w:rsid w:val="00F81C0D"/>
    <w:rsid w:val="00F93606"/>
    <w:rsid w:val="00FA41AD"/>
    <w:rsid w:val="00FB693F"/>
    <w:rsid w:val="00FD45FE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B4676"/>
  <w15:docId w15:val="{CDA7949C-8615-4BFB-BD51-7BF6580F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rutiger 45 Light" w:hAnsi="Frutiger 45 Light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B6347"/>
    <w:rPr>
      <w:color w:val="0000FF"/>
      <w:u w:val="single"/>
    </w:rPr>
  </w:style>
  <w:style w:type="paragraph" w:styleId="StandardWeb">
    <w:name w:val="Normal (Web)"/>
    <w:basedOn w:val="Standard"/>
    <w:rsid w:val="00F507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E2032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02A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2AC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rsid w:val="00801587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rsid w:val="005E457C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5E457C"/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semiHidden/>
    <w:unhideWhenUsed/>
    <w:rsid w:val="004F45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F45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F4555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F45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F4555"/>
    <w:rPr>
      <w:rFonts w:ascii="Frutiger 45 Light" w:hAnsi="Frutiger 45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daad.de/infos-fuer-einzelpersonen/foerderung-fuer-hochschulpersonal/fort-und-weiterbildungsmoeglichkeiten-im-ausland/de/46270-fort--und-weiterbildungsmoeglichkeiten-im-ausla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ocuments/applicants/higher-education-charter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programmes/erasmus-plus/resources/distance-calculator_e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ausländische Studierende,</vt:lpstr>
    </vt:vector>
  </TitlesOfParts>
  <Company>FHBRS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ausländische Studierende,</dc:title>
  <dc:creator>administrator</dc:creator>
  <cp:lastModifiedBy>Schmidt-Wolf, Beatrix</cp:lastModifiedBy>
  <cp:revision>2</cp:revision>
  <cp:lastPrinted>2021-09-28T13:36:00Z</cp:lastPrinted>
  <dcterms:created xsi:type="dcterms:W3CDTF">2022-10-20T12:42:00Z</dcterms:created>
  <dcterms:modified xsi:type="dcterms:W3CDTF">2022-10-20T12:42:00Z</dcterms:modified>
</cp:coreProperties>
</file>